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C9" w:rsidRDefault="00E428F2" w:rsidP="00E4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C37A4" w:rsidRPr="003C37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65" cy="8176732"/>
            <wp:effectExtent l="0" t="0" r="635" b="0"/>
            <wp:docPr id="1" name="Рисунок 1" descr="F:\приказ самообсл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самообсл\п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2C9" w:rsidRDefault="000B72C9" w:rsidP="00E4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2C9" w:rsidRDefault="000B72C9" w:rsidP="00E4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2C9" w:rsidRDefault="000B72C9" w:rsidP="00E4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2C9" w:rsidRDefault="000B72C9" w:rsidP="00E4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428F2" w:rsidP="00E4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2.3.</w:t>
      </w:r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Процедура </w:t>
      </w:r>
      <w:proofErr w:type="spellStart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 включает в себя следующие этапы:</w:t>
      </w:r>
    </w:p>
    <w:p w:rsidR="00E525A2" w:rsidRPr="00E525A2" w:rsidRDefault="00E525A2" w:rsidP="00E52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5A2" w:rsidRPr="00E525A2" w:rsidRDefault="00E525A2" w:rsidP="00E52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5A2" w:rsidRPr="00E525A2" w:rsidRDefault="00E525A2" w:rsidP="00E52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>обобщение полученных результатов и на их основе формирование отчёта;</w:t>
      </w:r>
    </w:p>
    <w:p w:rsidR="00E525A2" w:rsidRPr="00E525A2" w:rsidRDefault="00E525A2" w:rsidP="00E52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>рассмотрение отчёта Педагогическим советом ДОУ.</w:t>
      </w:r>
    </w:p>
    <w:p w:rsidR="00E525A2" w:rsidRPr="00E525A2" w:rsidRDefault="00E428F2" w:rsidP="00E428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Этап планирования и подготовки работ по </w:t>
      </w:r>
      <w:proofErr w:type="spellStart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течение четвёртой четверти текущего учебного года и завершается изданием приказа ДОУ, которым утверждаются:</w:t>
      </w:r>
    </w:p>
    <w:p w:rsidR="00E525A2" w:rsidRPr="00E525A2" w:rsidRDefault="00E525A2" w:rsidP="00E525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состав рабочей группы по </w:t>
      </w: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5A2" w:rsidRPr="00E525A2" w:rsidRDefault="00E525A2" w:rsidP="00E525A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</w:t>
      </w: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, включающего сбор и обработку необходимых для </w:t>
      </w: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данных, написание отчёта по результатам </w:t>
      </w: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>, обсуждение проекта отчёта, доработку проекта отчёта по результатам обсуждения, его рассмотрение Педагогическим советом ДОУ, направление на подпись заведующему ДОУ, далее учредителю, и</w:t>
      </w:r>
      <w:bookmarkStart w:id="1" w:name="page5"/>
      <w:bookmarkEnd w:id="1"/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размещение на официальном сайте ДОУ.</w:t>
      </w:r>
    </w:p>
    <w:p w:rsidR="00E525A2" w:rsidRPr="00E525A2" w:rsidRDefault="00E428F2" w:rsidP="00E428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Этап организации и проведения </w:t>
      </w:r>
      <w:proofErr w:type="spellStart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июне-июле текущего года. </w:t>
      </w:r>
    </w:p>
    <w:p w:rsidR="00E525A2" w:rsidRPr="00E525A2" w:rsidRDefault="00E428F2" w:rsidP="00E428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2.6.</w:t>
      </w:r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Этапы обобщения </w:t>
      </w:r>
      <w:proofErr w:type="gramStart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полученных  результатов</w:t>
      </w:r>
      <w:proofErr w:type="gramEnd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, формирования  отчёта, его рассмотрения Педагогическим советом ДОУ осуществляются в августе текущего года.</w:t>
      </w:r>
    </w:p>
    <w:p w:rsidR="00E525A2" w:rsidRPr="00E525A2" w:rsidRDefault="00E428F2" w:rsidP="00E428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2.7.</w:t>
      </w:r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proofErr w:type="spellStart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 оформляются в виде отчёта согласно прилагаемой к настоящему Положению форме, включающего аналитическую часть и результаты анализа показателей деятельности ДОУ.</w:t>
      </w:r>
    </w:p>
    <w:p w:rsidR="00E525A2" w:rsidRPr="00E525A2" w:rsidRDefault="00E428F2" w:rsidP="00E4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2.8.</w:t>
      </w:r>
      <w:r w:rsidR="00E525A2" w:rsidRPr="00E525A2">
        <w:rPr>
          <w:rFonts w:ascii="Times New Roman" w:eastAsia="Calibri" w:hAnsi="Times New Roman" w:cs="Times New Roman"/>
          <w:sz w:val="28"/>
          <w:szCs w:val="28"/>
        </w:rPr>
        <w:t xml:space="preserve">Отчёт составляется по состоянию на 1 августа </w:t>
      </w:r>
      <w:proofErr w:type="gramStart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текущего  года</w:t>
      </w:r>
      <w:proofErr w:type="gramEnd"/>
      <w:r w:rsidR="00E525A2" w:rsidRPr="00E525A2">
        <w:rPr>
          <w:rFonts w:ascii="Times New Roman" w:eastAsia="Calibri" w:hAnsi="Times New Roman" w:cs="Times New Roman"/>
          <w:sz w:val="28"/>
          <w:szCs w:val="28"/>
        </w:rPr>
        <w:t>, подписывается заведующим ДОУ, заверяется печатью, направляется учредителю и размещается на официальном сайте ДОУ не позднее 1 сентября текущего года.</w:t>
      </w: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25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525A2" w:rsidRPr="00E525A2" w:rsidRDefault="00E525A2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>к Положению о проведении</w:t>
      </w: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985">
        <w:rPr>
          <w:rFonts w:ascii="Times New Roman" w:eastAsia="Calibri" w:hAnsi="Times New Roman" w:cs="Times New Roman"/>
          <w:sz w:val="28"/>
          <w:szCs w:val="28"/>
        </w:rPr>
        <w:t>МБ</w:t>
      </w: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516985">
        <w:rPr>
          <w:rFonts w:ascii="Times New Roman" w:eastAsia="Calibri" w:hAnsi="Times New Roman" w:cs="Times New Roman"/>
          <w:sz w:val="28"/>
          <w:szCs w:val="28"/>
        </w:rPr>
        <w:t>№1 «Звёздочка»</w:t>
      </w:r>
    </w:p>
    <w:p w:rsidR="00E525A2" w:rsidRPr="00E525A2" w:rsidRDefault="00516985" w:rsidP="00E525A2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3C99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F43C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25 </w:t>
      </w:r>
      <w:r w:rsidR="00F43C9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F43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августа </w:t>
      </w:r>
      <w:r w:rsidR="00F43C99">
        <w:rPr>
          <w:rFonts w:ascii="Times New Roman" w:eastAsia="Calibri" w:hAnsi="Times New Roman" w:cs="Times New Roman"/>
          <w:sz w:val="28"/>
          <w:szCs w:val="28"/>
        </w:rPr>
        <w:t>2016г.</w:t>
      </w:r>
    </w:p>
    <w:p w:rsidR="00E525A2" w:rsidRPr="00E525A2" w:rsidRDefault="00E525A2" w:rsidP="00E5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E428F2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E428F2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428F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Организационно –правовое обеспечение деятельности образовательного учреждения</w:t>
            </w:r>
          </w:p>
        </w:tc>
      </w:tr>
      <w:tr w:rsidR="00E428F2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428F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F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Общая характеристика</w:t>
            </w:r>
          </w:p>
        </w:tc>
      </w:tr>
      <w:tr w:rsidR="00E428F2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E428F2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64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E64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64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E428F2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FE58F1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2" w:rsidRPr="00E525A2" w:rsidRDefault="00FE58F1" w:rsidP="00E5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ок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BC33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ы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C335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тов обр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BC335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E58F1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37052D" w:rsidRDefault="00FE58F1" w:rsidP="00FE58F1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Федеральные, региональные и муниципальные нормативно-правовые акты МБДОУ</w:t>
            </w:r>
          </w:p>
        </w:tc>
      </w:tr>
      <w:tr w:rsidR="00FE58F1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 w:rsidRPr="00BC33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BC335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BC335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C33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C335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BC335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BC335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C335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E58F1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FE58F1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F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E58F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58F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E58F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д</w:t>
            </w:r>
            <w:r w:rsidRPr="00FE58F1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д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т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58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т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л</w:t>
            </w:r>
            <w:r w:rsidRPr="00FE58F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E58F1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л</w:t>
            </w:r>
            <w:r w:rsidRPr="00FE58F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8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E58F1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FE58F1" w:rsidRPr="00E525A2" w:rsidTr="00E42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F1" w:rsidRPr="00FE58F1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F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E58F1">
              <w:rPr>
                <w:rFonts w:ascii="Times New Roman" w:hAnsi="Times New Roman" w:cs="Times New Roman"/>
              </w:rPr>
              <w:t>Информационно-технические ресурсы образовательного учреждения</w:t>
            </w:r>
            <w:r w:rsidRPr="00FE58F1">
              <w:t>: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FE58F1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F1">
              <w:rPr>
                <w:rFonts w:ascii="Times New Roman" w:eastAsia="Calibri" w:hAnsi="Times New Roman" w:cs="Times New Roman"/>
                <w:b/>
              </w:rPr>
              <w:t>Система  управления образовательным учреждением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F9"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административного управления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Контрольно-аналитическая деятельность в детском саду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2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ДОУ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FE58F1" w:rsidRDefault="00FE58F1" w:rsidP="00FE58F1">
            <w:pPr>
              <w:spacing w:after="0"/>
              <w:ind w:right="-284"/>
              <w:rPr>
                <w:rFonts w:ascii="Times New Roman" w:hAnsi="Times New Roman" w:cs="Times New Roman"/>
                <w:b/>
                <w:spacing w:val="-7"/>
              </w:rPr>
            </w:pPr>
            <w:r w:rsidRPr="00FE58F1">
              <w:rPr>
                <w:rFonts w:ascii="Times New Roman" w:hAnsi="Times New Roman" w:cs="Times New Roman"/>
                <w:b/>
                <w:spacing w:val="-7"/>
              </w:rPr>
              <w:t xml:space="preserve">Сведения об основных образовательных программах, реализуемых </w:t>
            </w:r>
          </w:p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F1">
              <w:rPr>
                <w:rFonts w:ascii="Times New Roman" w:hAnsi="Times New Roman" w:cs="Times New Roman"/>
                <w:b/>
                <w:spacing w:val="-7"/>
              </w:rPr>
              <w:t>в дошкольном образовательном учреждении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FE58F1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F1">
              <w:rPr>
                <w:rFonts w:ascii="Times New Roman" w:hAnsi="Times New Roman" w:cs="Times New Roman"/>
                <w:b/>
              </w:rPr>
              <w:t>Методическая литература, пособия рекомендованные к использованию в ДОУ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и укрепление здоровья детей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укрепление здоровья детей</w:t>
            </w:r>
          </w:p>
        </w:tc>
      </w:tr>
      <w:tr w:rsidR="00FE58F1" w:rsidRPr="00E525A2" w:rsidTr="00FE58F1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FE58F1" w:rsidRDefault="00FE58F1" w:rsidP="00FE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C">
              <w:rPr>
                <w:rFonts w:ascii="Times New Roman" w:hAnsi="Times New Roman" w:cs="Times New Roman"/>
                <w:sz w:val="24"/>
                <w:szCs w:val="24"/>
              </w:rPr>
              <w:t>Примерное 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зовательно-воспитательной работы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услуги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FE58F1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F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 воспитанников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474BFB" w:rsidRDefault="00FE58F1" w:rsidP="00F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474BFB" w:rsidRDefault="00FE58F1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FB">
              <w:rPr>
                <w:rFonts w:ascii="Times New Roman" w:hAnsi="Times New Roman" w:cs="Times New Roman"/>
              </w:rPr>
              <w:t>Анализ посещаемости воспитанниками ДОУ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474BFB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474BFB" w:rsidRDefault="00474BFB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отклонения в развитии</w:t>
            </w:r>
          </w:p>
        </w:tc>
      </w:tr>
      <w:tr w:rsidR="00FE58F1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E525A2" w:rsidRDefault="00474BFB" w:rsidP="00FE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1" w:rsidRPr="00474BFB" w:rsidRDefault="00474BFB" w:rsidP="00474B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логопеда</w:t>
            </w:r>
          </w:p>
        </w:tc>
      </w:tr>
      <w:tr w:rsidR="00474BFB" w:rsidRPr="00E525A2" w:rsidTr="00D8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474BFB" w:rsidRPr="00BC3359" w:rsidRDefault="00474BFB" w:rsidP="00474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преемственности и непрерывности в содержании образовательного процесса.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474BFB" w:rsidRDefault="00474BFB" w:rsidP="0047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474BFB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Анализ работы по подготовке детей к школе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474BFB" w:rsidRDefault="00474BFB" w:rsidP="0047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Уровень готовности детей к школьному обучению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474BFB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FB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 успеваемости выпускников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и воспитанников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осуществления образовательного процесса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474BFB" w:rsidRDefault="00474BFB" w:rsidP="00474B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в ДОУ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5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базовых пространств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C3359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474BFB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F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детей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организация питания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3E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516985" w:rsidRDefault="00474BFB" w:rsidP="00516985">
            <w:pPr>
              <w:shd w:val="clear" w:color="auto" w:fill="FFFFFF"/>
              <w:tabs>
                <w:tab w:val="left" w:leader="underscore" w:pos="2470"/>
                <w:tab w:val="left" w:leader="underscore" w:pos="36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54BE9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Анализ работы по изучению мнения участников образовательных отношений</w:t>
            </w:r>
            <w:r w:rsidR="00516985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 </w:t>
            </w:r>
            <w:r w:rsidRPr="00654BE9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о деятельности МБДОУ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516985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родителей образовательным учреждением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516985" w:rsidRDefault="00516985" w:rsidP="005169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запросов родителей на дополнительное образование.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516985" w:rsidRDefault="00516985" w:rsidP="0051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нализ</w:t>
            </w:r>
            <w:r w:rsidRPr="0051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взаимодействия</w:t>
            </w:r>
            <w:r w:rsidRPr="0051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социумом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5169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активность и партнёрство ДОУ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показателях плана финансово-хозяйственной деятельности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516985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85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 планы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FB" w:rsidRPr="00E525A2" w:rsidTr="00FE58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B" w:rsidRPr="00E525A2" w:rsidRDefault="00474BFB" w:rsidP="004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985" w:rsidRDefault="00516985" w:rsidP="0051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985" w:rsidRDefault="00516985" w:rsidP="0051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985" w:rsidRDefault="00516985" w:rsidP="0051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5A2" w:rsidRPr="00E525A2" w:rsidRDefault="00E525A2" w:rsidP="0051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5A2" w:rsidRPr="00E525A2" w:rsidRDefault="00E525A2" w:rsidP="00E525A2">
      <w:pPr>
        <w:rPr>
          <w:rFonts w:ascii="Calibri" w:eastAsia="Calibri" w:hAnsi="Calibri" w:cs="Times New Roman"/>
        </w:rPr>
      </w:pPr>
    </w:p>
    <w:p w:rsidR="00513E4A" w:rsidRDefault="00513E4A"/>
    <w:sectPr w:rsidR="00513E4A" w:rsidSect="00620C16">
      <w:pgSz w:w="11910" w:h="16840"/>
      <w:pgMar w:top="1134" w:right="850" w:bottom="1134" w:left="1701" w:header="73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AE1"/>
    <w:multiLevelType w:val="hybridMultilevel"/>
    <w:tmpl w:val="E4EA6C46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F1"/>
    <w:multiLevelType w:val="hybridMultilevel"/>
    <w:tmpl w:val="BA083A50"/>
    <w:lvl w:ilvl="0" w:tplc="000026E9">
      <w:start w:val="1"/>
      <w:numFmt w:val="decimal"/>
      <w:lvlText w:val="2.%1."/>
      <w:lvlJc w:val="left"/>
      <w:pPr>
        <w:tabs>
          <w:tab w:val="num" w:pos="2062"/>
        </w:tabs>
        <w:ind w:left="2062" w:hanging="360"/>
      </w:pPr>
    </w:lvl>
    <w:lvl w:ilvl="1" w:tplc="000001EB">
      <w:start w:val="1"/>
      <w:numFmt w:val="decimal"/>
      <w:lvlText w:val="%2"/>
      <w:lvlJc w:val="left"/>
      <w:pPr>
        <w:tabs>
          <w:tab w:val="num" w:pos="2782"/>
        </w:tabs>
        <w:ind w:left="2782" w:hanging="360"/>
      </w:pPr>
    </w:lvl>
    <w:lvl w:ilvl="2" w:tplc="FFFFFFFF">
      <w:numFmt w:val="decimal"/>
      <w:lvlText w:val=""/>
      <w:lvlJc w:val="left"/>
      <w:pPr>
        <w:ind w:left="1342" w:firstLine="0"/>
      </w:pPr>
    </w:lvl>
    <w:lvl w:ilvl="3" w:tplc="FFFFFFFF">
      <w:numFmt w:val="decimal"/>
      <w:lvlText w:val=""/>
      <w:lvlJc w:val="left"/>
      <w:pPr>
        <w:ind w:left="1342" w:firstLine="0"/>
      </w:pPr>
    </w:lvl>
    <w:lvl w:ilvl="4" w:tplc="FFFFFFFF">
      <w:numFmt w:val="decimal"/>
      <w:lvlText w:val=""/>
      <w:lvlJc w:val="left"/>
      <w:pPr>
        <w:ind w:left="1342" w:firstLine="0"/>
      </w:pPr>
    </w:lvl>
    <w:lvl w:ilvl="5" w:tplc="FFFFFFFF">
      <w:numFmt w:val="decimal"/>
      <w:lvlText w:val=""/>
      <w:lvlJc w:val="left"/>
      <w:pPr>
        <w:ind w:left="1342" w:firstLine="0"/>
      </w:pPr>
    </w:lvl>
    <w:lvl w:ilvl="6" w:tplc="FFFFFFFF">
      <w:numFmt w:val="decimal"/>
      <w:lvlText w:val=""/>
      <w:lvlJc w:val="left"/>
      <w:pPr>
        <w:ind w:left="1342" w:firstLine="0"/>
      </w:pPr>
    </w:lvl>
    <w:lvl w:ilvl="7" w:tplc="FFFFFFFF">
      <w:numFmt w:val="decimal"/>
      <w:lvlText w:val=""/>
      <w:lvlJc w:val="left"/>
      <w:pPr>
        <w:ind w:left="1342" w:firstLine="0"/>
      </w:pPr>
    </w:lvl>
    <w:lvl w:ilvl="8" w:tplc="FFFFFFFF">
      <w:numFmt w:val="decimal"/>
      <w:lvlText w:val=""/>
      <w:lvlJc w:val="left"/>
      <w:pPr>
        <w:ind w:left="1342" w:firstLine="0"/>
      </w:p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E44B85"/>
    <w:multiLevelType w:val="hybridMultilevel"/>
    <w:tmpl w:val="077EBD2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5AD0"/>
    <w:multiLevelType w:val="multilevel"/>
    <w:tmpl w:val="46826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EB3C74"/>
    <w:multiLevelType w:val="hybridMultilevel"/>
    <w:tmpl w:val="E2D21DD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3"/>
    <w:rsid w:val="000B72C9"/>
    <w:rsid w:val="00375D59"/>
    <w:rsid w:val="003C37A4"/>
    <w:rsid w:val="003F77A4"/>
    <w:rsid w:val="00474BFB"/>
    <w:rsid w:val="00513E4A"/>
    <w:rsid w:val="00516985"/>
    <w:rsid w:val="00620C16"/>
    <w:rsid w:val="007A6F06"/>
    <w:rsid w:val="00E428F2"/>
    <w:rsid w:val="00E525A2"/>
    <w:rsid w:val="00F43C99"/>
    <w:rsid w:val="00F57ED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84A4-F53E-4CD1-A07E-740BB47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8-12</dc:creator>
  <cp:keywords/>
  <dc:description/>
  <cp:lastModifiedBy>USER</cp:lastModifiedBy>
  <cp:revision>12</cp:revision>
  <dcterms:created xsi:type="dcterms:W3CDTF">2015-06-09T09:06:00Z</dcterms:created>
  <dcterms:modified xsi:type="dcterms:W3CDTF">2016-10-06T06:00:00Z</dcterms:modified>
</cp:coreProperties>
</file>